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465096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0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26"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contextualSpacing/>
        <w:ind w:right="21"/>
        <w:jc w:val="both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704-т</w:t>
      </w:r>
      <w:r>
        <w:rPr>
          <w:rFonts w:ascii="Liberation Sans" w:hAnsi="Liberation Sans" w:cs="Liberation Sans"/>
        </w:rPr>
      </w:r>
      <w:r/>
    </w:p>
    <w:p>
      <w:pPr>
        <w:pStyle w:val="83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18 декабря 2023 года № 515-т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приложения №№ 1, 2 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18 декабря 2023 года № 515-т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муниципальным производственным предприятием жилищно-коммунального хозяйства муниципального образования город Лабытнанги «Ямал» и поставляемую потребителям, и долгосрочных параметров регул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котор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515-т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0" w:firstLine="708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515-т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приказа департамента тарифной политики, энергетики и жилищно-коммунального комплекса </w:t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1"/>
        <w:widowControl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Тарифы на теплову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ю энергию (м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ощность), производимую муниципальным производственным предприятием жилищно-коммунального хозяйства муниципального образования город Лабытнанги «Ямал»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и поставляемую потребителям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на 2024 - 2028 годы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jc w:val="right"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п/п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Год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Вода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Муниципальное производственное предприятие жилищно-коммунального хозяйства муниципального образования город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Лабытнанги «Ямал»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6459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6611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6611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7625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6611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6611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6611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6611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6611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6611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0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0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515-т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приказа департамента тарифной политики, энергетики и жилищно-коммунального комплекса </w:t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</w:rPr>
        <w:t xml:space="preserve">Льготные тарифы на тепловую энергию (мощность), производимую муниципальным производственным предприятием жилищно-коммунального хозяйства муниципального образования город Лабытнанги «Ямал»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и поставляемую потребителям</w:t>
      </w:r>
      <w:r>
        <w:rPr>
          <w:rFonts w:ascii="Liberation Sans" w:hAnsi="Liberation Sans" w:eastAsia="Liberation Serif" w:cs="Liberation Sans"/>
          <w:b w:val="0"/>
          <w:bCs w:val="0"/>
        </w:rPr>
        <w:t xml:space="preserve"> </w:t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bCs w:val="0"/>
        </w:rPr>
        <w:t xml:space="preserve">на 20</w:t>
      </w:r>
      <w:r>
        <w:rPr>
          <w:rFonts w:ascii="Liberation Sans" w:hAnsi="Liberation Sans" w:eastAsia="Liberation Serif" w:cs="Liberation Sans"/>
          <w:b w:val="0"/>
          <w:bCs w:val="0"/>
        </w:rPr>
        <w:t xml:space="preserve">24 - 2028 годы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Муниципальное производственное предприятие жилищно-коммунального хозяйства муниципального образования город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Лабытнанги «Ямал»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1585,58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1585,58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1728,28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1902,69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2073,93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2024-12-25T14:13:48Z</dcterms:modified>
</cp:coreProperties>
</file>